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D7F47">
      <w:pPr>
        <w:spacing w:line="240" w:lineRule="auto"/>
        <w:jc w:val="center"/>
        <w:rPr>
          <w:rFonts w:eastAsia="黑体"/>
          <w:b/>
          <w:bCs/>
          <w:sz w:val="32"/>
        </w:rPr>
      </w:pPr>
    </w:p>
    <w:p w14:paraId="5B9FD7CF">
      <w:pPr>
        <w:spacing w:line="240" w:lineRule="auto"/>
        <w:jc w:val="center"/>
        <w:rPr>
          <w:rFonts w:ascii="宋体" w:hAnsi="宋体"/>
          <w:sz w:val="72"/>
          <w:szCs w:val="72"/>
        </w:rPr>
      </w:pPr>
      <w:r>
        <w:rPr>
          <w:rFonts w:eastAsia="黑体"/>
          <w:b/>
          <w:bCs/>
          <w:sz w:val="32"/>
        </w:rPr>
        <w:drawing>
          <wp:inline distT="0" distB="0" distL="0" distR="0">
            <wp:extent cx="826770" cy="7239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677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黑体"/>
          <w:b/>
          <w:bCs/>
          <w:sz w:val="32"/>
        </w:rPr>
        <w:drawing>
          <wp:inline distT="0" distB="0" distL="0" distR="0">
            <wp:extent cx="3152775" cy="607060"/>
            <wp:effectExtent l="0" t="0" r="952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2A130F">
      <w:pPr>
        <w:spacing w:line="240" w:lineRule="auto"/>
        <w:ind w:firstLine="1440" w:firstLineChars="200"/>
        <w:rPr>
          <w:rFonts w:ascii="宋体" w:hAnsi="宋体"/>
          <w:sz w:val="72"/>
          <w:szCs w:val="72"/>
        </w:rPr>
      </w:pPr>
    </w:p>
    <w:p w14:paraId="278886F4">
      <w:pPr>
        <w:spacing w:line="240" w:lineRule="auto"/>
        <w:jc w:val="center"/>
        <w:rPr>
          <w:rFonts w:ascii="微软雅黑" w:hAnsi="微软雅黑" w:eastAsia="微软雅黑"/>
          <w:b/>
          <w:sz w:val="72"/>
          <w:szCs w:val="72"/>
        </w:rPr>
      </w:pPr>
      <w:r>
        <w:rPr>
          <w:rFonts w:hint="eastAsia" w:ascii="宋体" w:hAnsi="宋体"/>
          <w:sz w:val="72"/>
          <w:szCs w:val="72"/>
        </w:rPr>
        <w:t xml:space="preserve"> </w:t>
      </w:r>
      <w:r>
        <w:rPr>
          <w:rFonts w:hint="eastAsia" w:ascii="微软雅黑" w:hAnsi="微软雅黑" w:eastAsia="微软雅黑"/>
          <w:b/>
          <w:sz w:val="72"/>
          <w:szCs w:val="72"/>
        </w:rPr>
        <w:t xml:space="preserve"> 教   案</w:t>
      </w:r>
    </w:p>
    <w:p w14:paraId="346F5F8D">
      <w:pPr>
        <w:spacing w:line="240" w:lineRule="auto"/>
        <w:jc w:val="center"/>
        <w:rPr>
          <w:rFonts w:ascii="宋体" w:hAnsi="宋体"/>
          <w:sz w:val="30"/>
        </w:rPr>
      </w:pPr>
    </w:p>
    <w:p w14:paraId="608BC8F5">
      <w:pPr>
        <w:spacing w:line="240" w:lineRule="auto"/>
        <w:jc w:val="center"/>
        <w:rPr>
          <w:rFonts w:ascii="宋体" w:hAnsi="宋体"/>
          <w:sz w:val="44"/>
        </w:rPr>
      </w:pPr>
      <w:r>
        <w:rPr>
          <w:rFonts w:hint="eastAsia" w:ascii="宋体" w:hAnsi="宋体"/>
          <w:sz w:val="44"/>
        </w:rPr>
        <w:t>20</w:t>
      </w:r>
      <w:r>
        <w:rPr>
          <w:rFonts w:ascii="宋体" w:hAnsi="宋体"/>
          <w:sz w:val="44"/>
        </w:rPr>
        <w:t>2</w:t>
      </w:r>
      <w:r>
        <w:rPr>
          <w:rFonts w:hint="eastAsia" w:ascii="宋体" w:hAnsi="宋体"/>
          <w:sz w:val="44"/>
          <w:lang w:val="en-US" w:eastAsia="zh-CN"/>
        </w:rPr>
        <w:t>4</w:t>
      </w:r>
      <w:r>
        <w:rPr>
          <w:rFonts w:hint="eastAsia" w:ascii="宋体" w:hAnsi="宋体"/>
          <w:sz w:val="44"/>
        </w:rPr>
        <w:t>～202</w:t>
      </w:r>
      <w:r>
        <w:rPr>
          <w:rFonts w:hint="eastAsia" w:ascii="宋体" w:hAnsi="宋体"/>
          <w:sz w:val="44"/>
          <w:lang w:val="en-US" w:eastAsia="zh-CN"/>
        </w:rPr>
        <w:t>5</w:t>
      </w:r>
      <w:r>
        <w:rPr>
          <w:rFonts w:hint="eastAsia" w:ascii="宋体" w:hAnsi="宋体"/>
          <w:sz w:val="44"/>
        </w:rPr>
        <w:t>学年第二学期</w:t>
      </w:r>
    </w:p>
    <w:p w14:paraId="3255FD34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</w:p>
    <w:p w14:paraId="57C7E328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</w:p>
    <w:p w14:paraId="3535E5AD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  <w:u w:val="single"/>
        </w:rPr>
      </w:pPr>
      <w:r>
        <w:rPr>
          <w:rFonts w:hint="eastAsia" w:ascii="宋体" w:hAnsi="宋体"/>
          <w:b/>
          <w:sz w:val="30"/>
        </w:rPr>
        <w:t>课程名称：</w:t>
      </w:r>
      <w:r>
        <w:rPr>
          <w:rFonts w:hint="eastAsia" w:ascii="宋体" w:hAnsi="宋体"/>
          <w:b/>
          <w:sz w:val="30"/>
          <w:u w:val="single"/>
        </w:rPr>
        <w:t xml:space="preserve">      </w:t>
      </w:r>
      <w:r>
        <w:rPr>
          <w:rFonts w:ascii="宋体" w:hAnsi="宋体"/>
          <w:b/>
          <w:sz w:val="30"/>
          <w:u w:val="single"/>
        </w:rPr>
        <w:t xml:space="preserve"> </w:t>
      </w:r>
      <w:r>
        <w:rPr>
          <w:rFonts w:hint="eastAsia" w:ascii="宋体" w:hAnsi="宋体"/>
          <w:b/>
          <w:sz w:val="30"/>
          <w:u w:val="single"/>
        </w:rPr>
        <w:t xml:space="preserve">微生物学         </w:t>
      </w:r>
      <w:r>
        <w:rPr>
          <w:rFonts w:ascii="宋体" w:hAnsi="宋体"/>
          <w:b/>
          <w:sz w:val="30"/>
          <w:u w:val="single"/>
        </w:rPr>
        <w:t xml:space="preserve">   </w:t>
      </w:r>
    </w:p>
    <w:p w14:paraId="4713B0D2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开课单位：</w:t>
      </w:r>
      <w:r>
        <w:rPr>
          <w:rFonts w:hint="eastAsia" w:ascii="宋体" w:hAnsi="宋体"/>
          <w:b/>
          <w:sz w:val="30"/>
          <w:u w:val="single"/>
        </w:rPr>
        <w:t xml:space="preserve">      大健康学院           </w:t>
      </w:r>
    </w:p>
    <w:p w14:paraId="0B42BA22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主讲教师：</w:t>
      </w:r>
      <w:r>
        <w:rPr>
          <w:rFonts w:hint="eastAsia" w:ascii="宋体" w:hAnsi="宋体"/>
          <w:b/>
          <w:sz w:val="30"/>
          <w:u w:val="single"/>
        </w:rPr>
        <w:t xml:space="preserve">        魏立娟             </w:t>
      </w:r>
    </w:p>
    <w:p w14:paraId="0B003FE9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  <w:r>
        <w:rPr>
          <w:rFonts w:hint="eastAsia" w:ascii="宋体" w:hAnsi="宋体"/>
          <w:b/>
          <w:sz w:val="30"/>
        </w:rPr>
        <w:t>授课班级：</w:t>
      </w:r>
      <w:r>
        <w:rPr>
          <w:rFonts w:hint="eastAsia" w:ascii="宋体" w:hAnsi="宋体"/>
          <w:b/>
          <w:sz w:val="30"/>
          <w:u w:val="single"/>
        </w:rPr>
        <w:t xml:space="preserve">      </w:t>
      </w:r>
      <w:r>
        <w:rPr>
          <w:rFonts w:ascii="宋体" w:hAnsi="宋体"/>
          <w:b/>
          <w:sz w:val="30"/>
          <w:u w:val="single"/>
        </w:rPr>
        <w:t>2</w:t>
      </w:r>
      <w:r>
        <w:rPr>
          <w:rFonts w:hint="eastAsia" w:ascii="宋体" w:hAnsi="宋体"/>
          <w:b/>
          <w:sz w:val="30"/>
          <w:u w:val="single"/>
          <w:lang w:val="en-US" w:eastAsia="zh-CN"/>
        </w:rPr>
        <w:t>3</w:t>
      </w:r>
      <w:r>
        <w:rPr>
          <w:rFonts w:hint="eastAsia" w:ascii="宋体" w:hAnsi="宋体"/>
          <w:b/>
          <w:sz w:val="30"/>
          <w:u w:val="single"/>
        </w:rPr>
        <w:t xml:space="preserve">生物科学          </w:t>
      </w:r>
    </w:p>
    <w:p w14:paraId="7A52F06B">
      <w:pPr>
        <w:spacing w:before="312" w:beforeLines="100" w:line="480" w:lineRule="auto"/>
        <w:ind w:firstLine="1205" w:firstLineChars="400"/>
        <w:jc w:val="left"/>
        <w:rPr>
          <w:rFonts w:ascii="宋体" w:hAnsi="宋体"/>
          <w:b/>
          <w:sz w:val="30"/>
        </w:rPr>
      </w:pPr>
    </w:p>
    <w:p w14:paraId="6C782BFC">
      <w:pPr>
        <w:rPr>
          <w:sz w:val="30"/>
        </w:rPr>
      </w:pPr>
    </w:p>
    <w:p w14:paraId="5D4AB212">
      <w:pPr>
        <w:tabs>
          <w:tab w:val="left" w:pos="7080"/>
        </w:tabs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凯里学院教务处制</w:t>
      </w:r>
    </w:p>
    <w:p w14:paraId="7F9F8153">
      <w:pPr>
        <w:ind w:firstLine="3780" w:firstLineChars="1350"/>
        <w:rPr>
          <w:rFonts w:ascii="黑体" w:hAnsi="黑体" w:eastAsia="黑体"/>
          <w:sz w:val="36"/>
          <w:szCs w:val="36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 w:ascii="黑体" w:hAnsi="黑体" w:eastAsia="黑体"/>
          <w:sz w:val="36"/>
          <w:szCs w:val="36"/>
        </w:rPr>
        <w:t>课程基本情况</w:t>
      </w:r>
    </w:p>
    <w:tbl>
      <w:tblPr>
        <w:tblStyle w:val="5"/>
        <w:tblpPr w:leftFromText="180" w:rightFromText="180" w:vertAnchor="page" w:horzAnchor="margin" w:tblpY="2596"/>
        <w:tblW w:w="93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44"/>
        <w:gridCol w:w="1073"/>
        <w:gridCol w:w="192"/>
        <w:gridCol w:w="719"/>
        <w:gridCol w:w="1295"/>
        <w:gridCol w:w="321"/>
        <w:gridCol w:w="109"/>
        <w:gridCol w:w="1411"/>
        <w:gridCol w:w="6"/>
        <w:gridCol w:w="567"/>
        <w:gridCol w:w="2308"/>
      </w:tblGrid>
      <w:tr w14:paraId="78005E52">
        <w:trPr>
          <w:cantSplit/>
          <w:trHeight w:val="502" w:hRule="atLeast"/>
        </w:trPr>
        <w:tc>
          <w:tcPr>
            <w:tcW w:w="1361" w:type="dxa"/>
            <w:gridSpan w:val="2"/>
            <w:vAlign w:val="center"/>
          </w:tcPr>
          <w:p w14:paraId="623AD85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8001" w:type="dxa"/>
            <w:gridSpan w:val="10"/>
            <w:vAlign w:val="center"/>
          </w:tcPr>
          <w:p w14:paraId="72DFEBCF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微生物学</w:t>
            </w:r>
          </w:p>
        </w:tc>
      </w:tr>
      <w:tr w14:paraId="70F5710C">
        <w:trPr>
          <w:cantSplit/>
          <w:trHeight w:val="486" w:hRule="atLeast"/>
        </w:trPr>
        <w:tc>
          <w:tcPr>
            <w:tcW w:w="1361" w:type="dxa"/>
            <w:gridSpan w:val="2"/>
            <w:vAlign w:val="center"/>
          </w:tcPr>
          <w:p w14:paraId="20BDF2D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授课专业</w:t>
            </w:r>
          </w:p>
        </w:tc>
        <w:tc>
          <w:tcPr>
            <w:tcW w:w="3600" w:type="dxa"/>
            <w:gridSpan w:val="5"/>
            <w:vAlign w:val="center"/>
          </w:tcPr>
          <w:p w14:paraId="0759D69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生物科学专业</w:t>
            </w:r>
          </w:p>
        </w:tc>
        <w:tc>
          <w:tcPr>
            <w:tcW w:w="1520" w:type="dxa"/>
            <w:gridSpan w:val="2"/>
            <w:vAlign w:val="center"/>
          </w:tcPr>
          <w:p w14:paraId="3C91C87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班   级</w:t>
            </w:r>
          </w:p>
        </w:tc>
        <w:tc>
          <w:tcPr>
            <w:tcW w:w="2881" w:type="dxa"/>
            <w:gridSpan w:val="3"/>
            <w:vAlign w:val="center"/>
          </w:tcPr>
          <w:p w14:paraId="1FD0EBC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sz w:val="24"/>
              </w:rPr>
              <w:t>生物科学</w:t>
            </w:r>
          </w:p>
        </w:tc>
      </w:tr>
      <w:tr w14:paraId="480CECBA">
        <w:trPr>
          <w:cantSplit/>
          <w:trHeight w:val="515" w:hRule="atLeast"/>
        </w:trPr>
        <w:tc>
          <w:tcPr>
            <w:tcW w:w="1361" w:type="dxa"/>
            <w:gridSpan w:val="2"/>
            <w:vMerge w:val="restart"/>
            <w:vAlign w:val="center"/>
          </w:tcPr>
          <w:p w14:paraId="32CAD5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课程类别</w:t>
            </w:r>
          </w:p>
        </w:tc>
        <w:tc>
          <w:tcPr>
            <w:tcW w:w="1073" w:type="dxa"/>
            <w:vAlign w:val="center"/>
          </w:tcPr>
          <w:p w14:paraId="162CCDC3">
            <w:pPr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必修课</w:t>
            </w:r>
          </w:p>
        </w:tc>
        <w:tc>
          <w:tcPr>
            <w:tcW w:w="6928" w:type="dxa"/>
            <w:gridSpan w:val="9"/>
            <w:vAlign w:val="center"/>
          </w:tcPr>
          <w:p w14:paraId="4CA29E1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通识教育必修课（ ）；学科基础课（ ）； 专业核心课（√）</w:t>
            </w:r>
          </w:p>
        </w:tc>
      </w:tr>
      <w:tr w14:paraId="3F0033F1">
        <w:trPr>
          <w:cantSplit/>
          <w:trHeight w:val="489" w:hRule="atLeast"/>
        </w:trPr>
        <w:tc>
          <w:tcPr>
            <w:tcW w:w="1361" w:type="dxa"/>
            <w:gridSpan w:val="2"/>
            <w:vMerge w:val="continue"/>
            <w:vAlign w:val="center"/>
          </w:tcPr>
          <w:p w14:paraId="363D8C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3" w:type="dxa"/>
            <w:vAlign w:val="center"/>
          </w:tcPr>
          <w:p w14:paraId="43C840D3">
            <w:pPr>
              <w:ind w:right="-107" w:rightChars="-51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选修课</w:t>
            </w:r>
          </w:p>
        </w:tc>
        <w:tc>
          <w:tcPr>
            <w:tcW w:w="6928" w:type="dxa"/>
            <w:gridSpan w:val="9"/>
            <w:vAlign w:val="center"/>
          </w:tcPr>
          <w:p w14:paraId="47DF5D9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通识教育选修课（ ）；专业方向课（ ）；专业任选课（  ）</w:t>
            </w:r>
          </w:p>
        </w:tc>
      </w:tr>
      <w:tr w14:paraId="39577D60">
        <w:trPr>
          <w:cantSplit/>
          <w:trHeight w:val="506" w:hRule="atLeast"/>
        </w:trPr>
        <w:tc>
          <w:tcPr>
            <w:tcW w:w="1361" w:type="dxa"/>
            <w:gridSpan w:val="2"/>
            <w:vAlign w:val="center"/>
          </w:tcPr>
          <w:p w14:paraId="18D395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教学课型</w:t>
            </w:r>
          </w:p>
        </w:tc>
        <w:tc>
          <w:tcPr>
            <w:tcW w:w="3709" w:type="dxa"/>
            <w:gridSpan w:val="6"/>
            <w:vAlign w:val="center"/>
          </w:tcPr>
          <w:p w14:paraId="7ACF9148">
            <w:pPr>
              <w:ind w:firstLine="120" w:firstLineChars="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理论（√）实验（ ）其他实践（ ） </w:t>
            </w:r>
          </w:p>
        </w:tc>
        <w:tc>
          <w:tcPr>
            <w:tcW w:w="1417" w:type="dxa"/>
            <w:gridSpan w:val="2"/>
            <w:vAlign w:val="center"/>
          </w:tcPr>
          <w:p w14:paraId="70D0FAB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考核方式</w:t>
            </w:r>
          </w:p>
        </w:tc>
        <w:tc>
          <w:tcPr>
            <w:tcW w:w="2875" w:type="dxa"/>
            <w:gridSpan w:val="2"/>
            <w:vAlign w:val="center"/>
          </w:tcPr>
          <w:p w14:paraId="6AD7F45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考试（√）考查（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</w:tr>
      <w:tr w14:paraId="48040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84" w:hRule="atLeast"/>
        </w:trPr>
        <w:tc>
          <w:tcPr>
            <w:tcW w:w="1361" w:type="dxa"/>
            <w:gridSpan w:val="2"/>
            <w:vAlign w:val="center"/>
          </w:tcPr>
          <w:p w14:paraId="5C4CE3F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课程教学</w:t>
            </w:r>
          </w:p>
          <w:p w14:paraId="548C7F5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总学时数</w:t>
            </w:r>
          </w:p>
        </w:tc>
        <w:tc>
          <w:tcPr>
            <w:tcW w:w="3709" w:type="dxa"/>
            <w:gridSpan w:val="6"/>
            <w:vAlign w:val="center"/>
          </w:tcPr>
          <w:p w14:paraId="5D84770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48</w:t>
            </w:r>
          </w:p>
        </w:tc>
        <w:tc>
          <w:tcPr>
            <w:tcW w:w="1417" w:type="dxa"/>
            <w:gridSpan w:val="2"/>
            <w:vAlign w:val="center"/>
          </w:tcPr>
          <w:p w14:paraId="1E60D3D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分 数</w:t>
            </w:r>
          </w:p>
        </w:tc>
        <w:tc>
          <w:tcPr>
            <w:tcW w:w="2875" w:type="dxa"/>
            <w:gridSpan w:val="2"/>
            <w:vAlign w:val="center"/>
          </w:tcPr>
          <w:p w14:paraId="6583433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</w:tr>
      <w:tr w14:paraId="28979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9" w:hRule="atLeast"/>
        </w:trPr>
        <w:tc>
          <w:tcPr>
            <w:tcW w:w="1361" w:type="dxa"/>
            <w:gridSpan w:val="2"/>
            <w:vMerge w:val="restart"/>
            <w:tcBorders>
              <w:right w:val="single" w:color="auto" w:sz="4" w:space="0"/>
            </w:tcBorders>
            <w:vAlign w:val="center"/>
          </w:tcPr>
          <w:p w14:paraId="7220D3A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    时分    配</w:t>
            </w:r>
          </w:p>
        </w:tc>
        <w:tc>
          <w:tcPr>
            <w:tcW w:w="1984" w:type="dxa"/>
            <w:gridSpan w:val="3"/>
            <w:tcBorders>
              <w:left w:val="single" w:color="auto" w:sz="4" w:space="0"/>
            </w:tcBorders>
            <w:vAlign w:val="center"/>
          </w:tcPr>
          <w:p w14:paraId="7271110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课堂理论讲授</w:t>
            </w:r>
          </w:p>
          <w:p w14:paraId="6695FBCD">
            <w:pPr>
              <w:ind w:firstLine="240" w:firstLineChars="1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学时数</w:t>
            </w:r>
          </w:p>
        </w:tc>
        <w:tc>
          <w:tcPr>
            <w:tcW w:w="1725" w:type="dxa"/>
            <w:gridSpan w:val="3"/>
            <w:tcBorders>
              <w:left w:val="single" w:color="auto" w:sz="4" w:space="0"/>
            </w:tcBorders>
            <w:vAlign w:val="center"/>
          </w:tcPr>
          <w:p w14:paraId="326DCE1E">
            <w:pPr>
              <w:widowControl/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>6</w:t>
            </w:r>
          </w:p>
        </w:tc>
        <w:tc>
          <w:tcPr>
            <w:tcW w:w="1984" w:type="dxa"/>
            <w:gridSpan w:val="3"/>
            <w:tcBorders>
              <w:left w:val="single" w:color="auto" w:sz="4" w:space="0"/>
            </w:tcBorders>
            <w:vAlign w:val="center"/>
          </w:tcPr>
          <w:p w14:paraId="2B3B4A3B">
            <w:pPr>
              <w:widowControl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其他实践课</w:t>
            </w:r>
          </w:p>
          <w:p w14:paraId="5A4E657C">
            <w:pPr>
              <w:widowControl/>
              <w:ind w:firstLine="240" w:firstLineChars="1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学时数</w:t>
            </w:r>
          </w:p>
        </w:tc>
        <w:tc>
          <w:tcPr>
            <w:tcW w:w="2308" w:type="dxa"/>
            <w:tcBorders>
              <w:left w:val="single" w:color="auto" w:sz="4" w:space="0"/>
            </w:tcBorders>
            <w:vAlign w:val="center"/>
          </w:tcPr>
          <w:p w14:paraId="6C17C8D8">
            <w:pPr>
              <w:jc w:val="center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>0</w:t>
            </w:r>
          </w:p>
        </w:tc>
      </w:tr>
      <w:tr w14:paraId="7B788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72" w:hRule="atLeast"/>
        </w:trPr>
        <w:tc>
          <w:tcPr>
            <w:tcW w:w="1361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 w14:paraId="52988BF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gridSpan w:val="3"/>
            <w:tcBorders>
              <w:left w:val="single" w:color="auto" w:sz="4" w:space="0"/>
            </w:tcBorders>
            <w:vAlign w:val="center"/>
          </w:tcPr>
          <w:p w14:paraId="18EE0A2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实验学时数</w:t>
            </w:r>
          </w:p>
        </w:tc>
        <w:tc>
          <w:tcPr>
            <w:tcW w:w="1725" w:type="dxa"/>
            <w:gridSpan w:val="3"/>
            <w:tcBorders>
              <w:left w:val="single" w:color="auto" w:sz="4" w:space="0"/>
            </w:tcBorders>
            <w:vAlign w:val="center"/>
          </w:tcPr>
          <w:p w14:paraId="4365175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0</w:t>
            </w:r>
          </w:p>
        </w:tc>
        <w:tc>
          <w:tcPr>
            <w:tcW w:w="1984" w:type="dxa"/>
            <w:gridSpan w:val="3"/>
            <w:tcBorders>
              <w:left w:val="single" w:color="auto" w:sz="4" w:space="0"/>
            </w:tcBorders>
            <w:vAlign w:val="center"/>
          </w:tcPr>
          <w:p w14:paraId="570F75E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课堂讨论学时数</w:t>
            </w:r>
          </w:p>
        </w:tc>
        <w:tc>
          <w:tcPr>
            <w:tcW w:w="2308" w:type="dxa"/>
            <w:tcBorders>
              <w:left w:val="single" w:color="auto" w:sz="4" w:space="0"/>
            </w:tcBorders>
            <w:vAlign w:val="center"/>
          </w:tcPr>
          <w:p w14:paraId="39D36FB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</w:t>
            </w:r>
          </w:p>
        </w:tc>
      </w:tr>
      <w:tr w14:paraId="2F7B4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" w:hRule="atLeast"/>
        </w:trPr>
        <w:tc>
          <w:tcPr>
            <w:tcW w:w="2626" w:type="dxa"/>
            <w:gridSpan w:val="4"/>
            <w:tcBorders>
              <w:right w:val="single" w:color="auto" w:sz="4" w:space="0"/>
            </w:tcBorders>
            <w:vAlign w:val="center"/>
          </w:tcPr>
          <w:p w14:paraId="7B9A99E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使用教材名称</w:t>
            </w:r>
          </w:p>
        </w:tc>
        <w:tc>
          <w:tcPr>
            <w:tcW w:w="2014" w:type="dxa"/>
            <w:gridSpan w:val="2"/>
            <w:tcBorders>
              <w:right w:val="single" w:color="auto" w:sz="4" w:space="0"/>
            </w:tcBorders>
            <w:vAlign w:val="center"/>
          </w:tcPr>
          <w:p w14:paraId="25382B6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</w:t>
            </w:r>
          </w:p>
        </w:tc>
        <w:tc>
          <w:tcPr>
            <w:tcW w:w="2414" w:type="dxa"/>
            <w:gridSpan w:val="5"/>
            <w:tcBorders>
              <w:right w:val="single" w:color="auto" w:sz="4" w:space="0"/>
            </w:tcBorders>
            <w:vAlign w:val="center"/>
          </w:tcPr>
          <w:p w14:paraId="638E325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出版社</w:t>
            </w:r>
          </w:p>
        </w:tc>
        <w:tc>
          <w:tcPr>
            <w:tcW w:w="2308" w:type="dxa"/>
            <w:tcBorders>
              <w:right w:val="single" w:color="auto" w:sz="4" w:space="0"/>
            </w:tcBorders>
            <w:vAlign w:val="center"/>
          </w:tcPr>
          <w:p w14:paraId="5AF39DF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出版时间</w:t>
            </w:r>
          </w:p>
        </w:tc>
      </w:tr>
      <w:tr w14:paraId="0F6D7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85" w:hRule="atLeast"/>
        </w:trPr>
        <w:tc>
          <w:tcPr>
            <w:tcW w:w="2626" w:type="dxa"/>
            <w:gridSpan w:val="4"/>
            <w:tcBorders>
              <w:right w:val="single" w:color="auto" w:sz="4" w:space="0"/>
            </w:tcBorders>
            <w:vAlign w:val="center"/>
          </w:tcPr>
          <w:p w14:paraId="4129D4A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微生物学</w:t>
            </w:r>
          </w:p>
        </w:tc>
        <w:tc>
          <w:tcPr>
            <w:tcW w:w="2014" w:type="dxa"/>
            <w:gridSpan w:val="2"/>
            <w:tcBorders>
              <w:right w:val="single" w:color="auto" w:sz="4" w:space="0"/>
            </w:tcBorders>
            <w:vAlign w:val="center"/>
          </w:tcPr>
          <w:p w14:paraId="6383EC6E">
            <w:pPr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周德庆</w:t>
            </w:r>
          </w:p>
        </w:tc>
        <w:tc>
          <w:tcPr>
            <w:tcW w:w="2414" w:type="dxa"/>
            <w:gridSpan w:val="5"/>
            <w:tcBorders>
              <w:right w:val="single" w:color="auto" w:sz="4" w:space="0"/>
            </w:tcBorders>
            <w:vAlign w:val="center"/>
          </w:tcPr>
          <w:p w14:paraId="26619DF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高等教育出版社</w:t>
            </w:r>
          </w:p>
        </w:tc>
        <w:tc>
          <w:tcPr>
            <w:tcW w:w="2308" w:type="dxa"/>
            <w:tcBorders>
              <w:right w:val="single" w:color="auto" w:sz="4" w:space="0"/>
            </w:tcBorders>
            <w:vAlign w:val="center"/>
          </w:tcPr>
          <w:p w14:paraId="0111DEE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20</w:t>
            </w:r>
          </w:p>
        </w:tc>
      </w:tr>
      <w:tr w14:paraId="5F21A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28" w:hRule="atLeast"/>
        </w:trPr>
        <w:tc>
          <w:tcPr>
            <w:tcW w:w="817" w:type="dxa"/>
            <w:textDirection w:val="tbRlV"/>
            <w:vAlign w:val="center"/>
          </w:tcPr>
          <w:p w14:paraId="0C6D2F9F">
            <w:pPr>
              <w:ind w:left="113" w:right="11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教材章节及学时分配（与大纲基本吻合）</w:t>
            </w:r>
          </w:p>
        </w:tc>
        <w:tc>
          <w:tcPr>
            <w:tcW w:w="8545" w:type="dxa"/>
            <w:gridSpan w:val="11"/>
          </w:tcPr>
          <w:p w14:paraId="701D3796">
            <w:pPr>
              <w:rPr>
                <w:rFonts w:ascii="宋体" w:hAnsi="宋体"/>
                <w:sz w:val="24"/>
              </w:rPr>
            </w:pPr>
          </w:p>
          <w:p w14:paraId="11B5F6FC">
            <w:pPr>
              <w:spacing w:line="480" w:lineRule="auto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</w:rPr>
              <w:t>章节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课程内容             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学时分配</w:t>
            </w:r>
          </w:p>
          <w:p w14:paraId="18DBF85C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绪论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3</w:t>
            </w:r>
          </w:p>
          <w:p w14:paraId="4F9229E5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病毒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6</w:t>
            </w:r>
          </w:p>
          <w:p w14:paraId="3CF5BA8B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原核微生物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9</w:t>
            </w:r>
          </w:p>
          <w:p w14:paraId="2FE09236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真核微生物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6</w:t>
            </w:r>
          </w:p>
          <w:p w14:paraId="09496699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微生物的营养与生长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9</w:t>
            </w:r>
          </w:p>
          <w:p w14:paraId="698688A2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微生物的遗传和变异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6</w:t>
            </w:r>
          </w:p>
          <w:p w14:paraId="17DE71EE">
            <w:pPr>
              <w:spacing w:line="480" w:lineRule="auto"/>
              <w:rPr>
                <w:rFonts w:hint="default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微生物生态学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</w:t>
            </w:r>
            <w:r>
              <w:rPr>
                <w:rFonts w:hint="default" w:ascii="宋体" w:hAnsi="宋体"/>
                <w:color w:val="000000"/>
                <w:sz w:val="24"/>
              </w:rPr>
              <w:t>3</w:t>
            </w:r>
          </w:p>
          <w:p w14:paraId="615B858B">
            <w:pPr>
              <w:rPr>
                <w:rFonts w:hint="default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8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 微生物与环境污染控制与治理</w:t>
            </w:r>
            <w:r>
              <w:rPr>
                <w:rFonts w:hint="eastAsia" w:ascii="宋体" w:hAnsi="宋体"/>
                <w:color w:val="000000"/>
                <w:sz w:val="24"/>
              </w:rPr>
              <w:tab/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</w:t>
            </w:r>
            <w:r>
              <w:rPr>
                <w:rFonts w:hint="default" w:ascii="宋体" w:hAnsi="宋体"/>
                <w:color w:val="000000"/>
                <w:sz w:val="24"/>
              </w:rPr>
              <w:t>6</w:t>
            </w:r>
          </w:p>
          <w:p w14:paraId="5E10C2B5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1804D3F7">
      <w:pPr>
        <w:pStyle w:val="4"/>
        <w:spacing w:before="0" w:beforeAutospacing="0" w:after="0" w:afterAutospacing="0" w:line="360" w:lineRule="auto"/>
        <w:jc w:val="both"/>
        <w:rPr>
          <w:kern w:val="2"/>
        </w:rPr>
      </w:pPr>
    </w:p>
    <w:p w14:paraId="2AEAE659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说明：本页用于一门课程实施方案的整体设计。表中（）选项请打“√”</w:t>
      </w:r>
    </w:p>
    <w:p w14:paraId="1A812D10">
      <w:pPr>
        <w:rPr>
          <w:rFonts w:ascii="宋体" w:hAnsi="宋体"/>
          <w:sz w:val="24"/>
        </w:rPr>
      </w:pPr>
    </w:p>
    <w:p w14:paraId="78427DDF">
      <w:pPr>
        <w:pStyle w:val="4"/>
        <w:spacing w:before="0" w:beforeAutospacing="0" w:after="0" w:afterAutospacing="0" w:line="360" w:lineRule="auto"/>
        <w:jc w:val="both"/>
        <w:rPr>
          <w:kern w:val="2"/>
        </w:rPr>
      </w:pP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6"/>
        <w:gridCol w:w="1567"/>
        <w:gridCol w:w="1573"/>
        <w:gridCol w:w="1425"/>
        <w:gridCol w:w="1662"/>
        <w:gridCol w:w="1382"/>
      </w:tblGrid>
      <w:tr w14:paraId="429434E6">
        <w:trPr>
          <w:jc w:val="center"/>
        </w:trPr>
        <w:tc>
          <w:tcPr>
            <w:tcW w:w="15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2FB2E5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课次</w:t>
            </w:r>
          </w:p>
        </w:tc>
        <w:tc>
          <w:tcPr>
            <w:tcW w:w="1558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27FE37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6</w:t>
            </w:r>
          </w:p>
        </w:tc>
        <w:tc>
          <w:tcPr>
            <w:tcW w:w="15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B5610E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周次</w:t>
            </w:r>
          </w:p>
        </w:tc>
        <w:tc>
          <w:tcPr>
            <w:tcW w:w="13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F7AFDB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17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2BA90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教学时数</w:t>
            </w:r>
          </w:p>
        </w:tc>
        <w:tc>
          <w:tcPr>
            <w:tcW w:w="14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1B4889"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</w:tr>
      <w:tr w14:paraId="2D6EF4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 w14:paraId="15E9AF47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授课课题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 w14:paraId="3EE93BF5">
            <w:pPr>
              <w:spacing w:before="156" w:beforeLines="50" w:after="156" w:afterLines="50"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第八章 微生物与环境污染控制与治理</w:t>
            </w:r>
          </w:p>
        </w:tc>
      </w:tr>
      <w:tr w14:paraId="107E83E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 w14:paraId="5AFFA6CF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授课方式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 w14:paraId="579C744B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</w:t>
            </w:r>
          </w:p>
        </w:tc>
      </w:tr>
      <w:tr w14:paraId="418DE8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554" w:hRule="atLeast"/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 w14:paraId="708BC2B4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教学目标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 w14:paraId="02810D3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掌握利用微生物处理环境中的问题</w:t>
            </w:r>
          </w:p>
        </w:tc>
      </w:tr>
      <w:tr w14:paraId="518A4F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2"/>
            <w:tcBorders>
              <w:right w:val="single" w:color="auto" w:sz="4" w:space="0"/>
            </w:tcBorders>
            <w:vAlign w:val="center"/>
          </w:tcPr>
          <w:p w14:paraId="03A83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教学重点</w:t>
            </w:r>
          </w:p>
          <w:p w14:paraId="1DC93B6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难点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</w:tcBorders>
            <w:vAlign w:val="center"/>
          </w:tcPr>
          <w:p w14:paraId="4D28E1E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1）概念：活性污泥、生物膜、生物修复</w:t>
            </w:r>
          </w:p>
          <w:p w14:paraId="2DA5D871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2）废水、废气处理原则及方法</w:t>
            </w:r>
          </w:p>
          <w:p w14:paraId="5A77466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  <w:p w14:paraId="41150FC6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14:paraId="159EDD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2"/>
            <w:tcBorders>
              <w:bottom w:val="single" w:color="auto" w:sz="6" w:space="0"/>
              <w:right w:val="single" w:color="auto" w:sz="4" w:space="0"/>
            </w:tcBorders>
            <w:vAlign w:val="center"/>
          </w:tcPr>
          <w:p w14:paraId="553974D9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授课方法和手段</w:t>
            </w:r>
          </w:p>
        </w:tc>
        <w:tc>
          <w:tcPr>
            <w:tcW w:w="0" w:type="auto"/>
            <w:gridSpan w:val="4"/>
            <w:tcBorders>
              <w:left w:val="single" w:color="auto" w:sz="4" w:space="0"/>
              <w:bottom w:val="single" w:color="auto" w:sz="6" w:space="0"/>
            </w:tcBorders>
            <w:vAlign w:val="center"/>
          </w:tcPr>
          <w:p w14:paraId="7317454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小组讨论、</w:t>
            </w:r>
            <w:r>
              <w:rPr>
                <w:rFonts w:ascii="宋体" w:hAnsi="宋体"/>
                <w:sz w:val="24"/>
              </w:rPr>
              <w:t>多媒体</w:t>
            </w:r>
          </w:p>
        </w:tc>
      </w:tr>
      <w:tr w14:paraId="1B3E0A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6"/>
            <w:tcBorders>
              <w:bottom w:val="single" w:color="auto" w:sz="4" w:space="0"/>
            </w:tcBorders>
            <w:vAlign w:val="center"/>
          </w:tcPr>
          <w:p w14:paraId="21EA672E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教学内容与教学过程设计</w:t>
            </w:r>
          </w:p>
        </w:tc>
      </w:tr>
      <w:tr w14:paraId="0105B9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0" w:type="auto"/>
            <w:gridSpan w:val="6"/>
            <w:tcBorders>
              <w:top w:val="single" w:color="auto" w:sz="4" w:space="0"/>
            </w:tcBorders>
            <w:vAlign w:val="center"/>
          </w:tcPr>
          <w:p w14:paraId="371C12DF">
            <w:pPr>
              <w:widowControl/>
              <w:tabs>
                <w:tab w:val="left" w:pos="1995"/>
              </w:tabs>
              <w:spacing w:line="360" w:lineRule="auto"/>
              <w:ind w:firstLine="360" w:firstLineChars="150"/>
              <w:jc w:val="left"/>
              <w:rPr>
                <w:kern w:val="0"/>
                <w:sz w:val="24"/>
                <w:szCs w:val="21"/>
              </w:rPr>
            </w:pPr>
            <w:r>
              <w:rPr>
                <w:kern w:val="0"/>
                <w:sz w:val="24"/>
                <w:szCs w:val="21"/>
              </w:rPr>
              <w:t>自地球形成至今约45亿年的历程中，发生了化学进化与生物学进化两大阶段，它们又各可分3个小阶段。在生物学进化的38亿~41亿年的3个小阶段中，以微生物为主体的分解者是始终不可缺少的一方， 以植物为主体的生产者其次，而以动物为主体的消费者则最迟形成。</w:t>
            </w:r>
          </w:p>
          <w:p w14:paraId="1F7B5ACC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一、课程目标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3CE38ED0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b/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1、高阶性目标</w:t>
            </w:r>
            <w:r>
              <w:rPr>
                <w:rFonts w:hint="eastAsia" w:ascii="MS Mincho" w:hAnsi="MS Mincho" w:eastAsia="MS Mincho" w:cs="MS Mincho"/>
                <w:b/>
                <w:kern w:val="0"/>
                <w:sz w:val="24"/>
                <w:szCs w:val="21"/>
              </w:rPr>
              <w:t>​</w:t>
            </w:r>
          </w:p>
          <w:p w14:paraId="763A8B71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（1）学生能够综合运用微生物学、环境科学等多学科知识，分析复杂环境污染问题中微生物的作用机制，并提出创新性的解决方案。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696364F6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（2）具备批判性思维，能够对现有的微生物污染控制与治理技术进行评估、改进和优化。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33C9A11F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（3）培养学生的实践创新能力，使其能够在实际环境中设计、实施和监测微生物污染治理项目。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67414980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2、创新性目标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77224ECB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（1）介绍最新的科研成果和前沿技术，激发学生的创新思维，鼓励学生从新的角度探索微生物在环境污染控制与治理中的应用。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66363400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（2）采用多样化的教学方法，如探究式学习、项目式学习等，培养学生的自主创新能力和团队协作创新精神。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7CB24854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b/>
                <w:kern w:val="0"/>
                <w:sz w:val="24"/>
                <w:szCs w:val="21"/>
              </w:rPr>
              <w:t>3</w:t>
            </w:r>
            <w:r>
              <w:rPr>
                <w:rFonts w:hint="eastAsia"/>
                <w:b/>
                <w:kern w:val="0"/>
                <w:sz w:val="24"/>
                <w:szCs w:val="21"/>
              </w:rPr>
              <w:t>、挑战度目标</w:t>
            </w:r>
            <w:r>
              <w:rPr>
                <w:rFonts w:hint="eastAsia" w:ascii="MS Mincho" w:hAnsi="MS Mincho" w:eastAsia="MS Mincho" w:cs="MS Mincho"/>
                <w:b/>
                <w:kern w:val="0"/>
                <w:sz w:val="24"/>
                <w:szCs w:val="21"/>
              </w:rPr>
              <w:t>​</w:t>
            </w:r>
          </w:p>
          <w:p w14:paraId="52FE5E7A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（1）课程内容涵盖微生物污染控制的基础理论、复杂的实际应用场景以及学科交叉知识，对学生的知识储备和学习能力提出较高要求。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03710648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（2）通过设置具有挑战性的作业、项目和考试题目，促使学生深入思考、自主学习，不断挑战自我，提升学习效果。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466A2898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二、教学内容与实施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18AE5AD2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1、微生物污染控制基础理论（</w:t>
            </w:r>
            <w:r>
              <w:rPr>
                <w:rFonts w:hint="default"/>
                <w:b/>
                <w:kern w:val="0"/>
                <w:sz w:val="24"/>
                <w:szCs w:val="21"/>
                <w:lang w:val="en-US"/>
              </w:rPr>
              <w:t>2</w:t>
            </w:r>
            <w:r>
              <w:rPr>
                <w:rFonts w:hint="eastAsia"/>
                <w:b/>
                <w:kern w:val="0"/>
                <w:sz w:val="24"/>
                <w:szCs w:val="21"/>
              </w:rPr>
              <w:t>学时）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5BD916DA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（1）教学内容：讲解微生物在环境污染中的来源、传播途径以及对生态系统和人体健康的影响。深入剖析微生物对有机污染物、重金属污染等的降解、转化机制。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0F2F7B20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（2）教学方法：采用课堂讲授与小组讨论相结合的方式。课堂讲授运用多媒体资源，如动画、视频等，直观展示微生物的污染控制过程。小组讨论设置问题，如</w:t>
            </w:r>
            <w:r>
              <w:rPr>
                <w:kern w:val="0"/>
                <w:sz w:val="24"/>
                <w:szCs w:val="21"/>
              </w:rPr>
              <w:t xml:space="preserve"> “</w:t>
            </w:r>
            <w:r>
              <w:rPr>
                <w:rFonts w:hint="eastAsia"/>
                <w:kern w:val="0"/>
                <w:sz w:val="24"/>
                <w:szCs w:val="21"/>
              </w:rPr>
              <w:t>不同微生物对有机污染物的降解途径有何差异及原因”，引导学生进行批判性思考，培养分析和解决问题的能力。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1BF649A3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（3）挑战度设置：布置课后作业，要求学生查阅文献，对比不同微生物对同一类污染物的降解效果，并分析影响因素，撰写综述报告，对学生的文献查阅和综合分析能力提出挑战。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64133593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2、微生物污染治理技术（</w:t>
            </w:r>
            <w:r>
              <w:rPr>
                <w:rFonts w:hint="default"/>
                <w:b/>
                <w:kern w:val="0"/>
                <w:sz w:val="24"/>
                <w:szCs w:val="21"/>
                <w:lang w:val="en-US"/>
              </w:rPr>
              <w:t>2</w:t>
            </w:r>
            <w:r>
              <w:rPr>
                <w:rFonts w:hint="eastAsia"/>
                <w:b/>
                <w:kern w:val="0"/>
                <w:sz w:val="24"/>
                <w:szCs w:val="21"/>
              </w:rPr>
              <w:t>学时）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5F01A959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（1）教学内容：介绍常见的微生物污染治理技术，如活性污泥法、生物膜法、微生物修复技术等，包括其工艺流程、技术原理和应用案例。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135F061D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教学方法：采用案例分析与实验教学相结合的方式。案例分析选取实际工程案例，如某工业废水处理厂的微生物处理工艺优化，让学生分析案例中技术的选择依据、存在问题及改进措施。实验教学安排学生进行微生物处理污水的模拟实验，亲身体验微生物在污染治理中的作用，掌握实验操作技能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0AB7C989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3）挑战度设置：安排学生分组设计一个针对特定污染场景的微生物治理方案，要求综合考虑技术可行性、成本效益、环境影响等因素，并在课堂上进行汇报和答辩，对学生的创新思维、团队协作和表达能力提出较高挑战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718F58E9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3、前沿技术与创新应用（</w:t>
            </w:r>
            <w:r>
              <w:rPr>
                <w:rFonts w:hint="default"/>
                <w:b/>
                <w:kern w:val="0"/>
                <w:sz w:val="24"/>
                <w:szCs w:val="21"/>
                <w:lang w:val="en-US"/>
              </w:rPr>
              <w:t>2</w:t>
            </w:r>
            <w:bookmarkStart w:id="0" w:name="_GoBack"/>
            <w:bookmarkEnd w:id="0"/>
            <w:r>
              <w:rPr>
                <w:rFonts w:hint="eastAsia"/>
                <w:b/>
                <w:kern w:val="0"/>
                <w:sz w:val="24"/>
                <w:szCs w:val="21"/>
              </w:rPr>
              <w:t>学时）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403CE503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（1）教学内容：介绍微生物与环境污染控制与治理领域的前沿技术，如基因工程改造微生物用于污染物降解、微生物燃料电池在废水处理中的应用等，探讨其发展趋势和面临的挑战。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1A8CE250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（2）教学方法：小组项目要求学生选择一种前沿技术，深入研究其原理、优势和局限性，并提出进一步改进和创新的思路，以小组报告和展示的形式呈现。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68013E6F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（3）挑战度设置：在小组项目中，要求学生不仅要掌握前沿技术的基础知识，还要对其进行深入分析和创新思考，同时要具备良好的团队协作和沟通能力，对学生的综合素质提出极高挑战。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385C1A26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三、教学评价</w:t>
            </w:r>
            <w:r>
              <w:rPr>
                <w:rFonts w:hint="eastAsia" w:ascii="MS Mincho" w:hAnsi="MS Mincho" w:eastAsia="MS Mincho" w:cs="MS Mincho"/>
                <w:b/>
                <w:kern w:val="0"/>
                <w:sz w:val="24"/>
                <w:szCs w:val="21"/>
              </w:rPr>
              <w:t>​</w:t>
            </w:r>
          </w:p>
          <w:p w14:paraId="4F6F9D64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b/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1、多元化评价体系</w:t>
            </w:r>
            <w:r>
              <w:rPr>
                <w:rFonts w:hint="eastAsia" w:ascii="MS Mincho" w:hAnsi="MS Mincho" w:eastAsia="MS Mincho" w:cs="MS Mincho"/>
                <w:b/>
                <w:kern w:val="0"/>
                <w:sz w:val="24"/>
                <w:szCs w:val="21"/>
              </w:rPr>
              <w:t>​</w:t>
            </w:r>
          </w:p>
          <w:p w14:paraId="6B84E2FD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（1）过程性评价（</w:t>
            </w:r>
            <w:r>
              <w:rPr>
                <w:kern w:val="0"/>
                <w:sz w:val="24"/>
                <w:szCs w:val="21"/>
              </w:rPr>
              <w:t>50%</w:t>
            </w:r>
            <w:r>
              <w:rPr>
                <w:rFonts w:hint="eastAsia"/>
                <w:kern w:val="0"/>
                <w:sz w:val="24"/>
                <w:szCs w:val="21"/>
              </w:rPr>
              <w:t>）：包括课堂表现（</w:t>
            </w:r>
            <w:r>
              <w:rPr>
                <w:kern w:val="0"/>
                <w:sz w:val="24"/>
                <w:szCs w:val="21"/>
              </w:rPr>
              <w:t>20%</w:t>
            </w:r>
            <w:r>
              <w:rPr>
                <w:rFonts w:hint="eastAsia"/>
                <w:kern w:val="0"/>
                <w:sz w:val="24"/>
                <w:szCs w:val="21"/>
              </w:rPr>
              <w:t>），如参与课堂讨论的积极性、发言质量等；作业完成情况（</w:t>
            </w:r>
            <w:r>
              <w:rPr>
                <w:kern w:val="0"/>
                <w:sz w:val="24"/>
                <w:szCs w:val="21"/>
              </w:rPr>
              <w:t>20%</w:t>
            </w:r>
            <w:r>
              <w:rPr>
                <w:rFonts w:hint="eastAsia"/>
                <w:kern w:val="0"/>
                <w:sz w:val="24"/>
                <w:szCs w:val="21"/>
              </w:rPr>
              <w:t>），对作业的准确性、深度和创新性进行评价；小组项目进展（</w:t>
            </w:r>
            <w:r>
              <w:rPr>
                <w:kern w:val="0"/>
                <w:sz w:val="24"/>
                <w:szCs w:val="21"/>
              </w:rPr>
              <w:t>10%</w:t>
            </w:r>
            <w:r>
              <w:rPr>
                <w:rFonts w:hint="eastAsia"/>
                <w:kern w:val="0"/>
                <w:sz w:val="24"/>
                <w:szCs w:val="21"/>
              </w:rPr>
              <w:t>），评估小组在项目实施过程中的团队协作、任务完成进度等。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4A756DA3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（2）终结性评价（</w:t>
            </w:r>
            <w:r>
              <w:rPr>
                <w:kern w:val="0"/>
                <w:sz w:val="24"/>
                <w:szCs w:val="21"/>
              </w:rPr>
              <w:t>50%</w:t>
            </w:r>
            <w:r>
              <w:rPr>
                <w:rFonts w:hint="eastAsia"/>
                <w:kern w:val="0"/>
                <w:sz w:val="24"/>
                <w:szCs w:val="21"/>
              </w:rPr>
              <w:t>）：期末考试（</w:t>
            </w:r>
            <w:r>
              <w:rPr>
                <w:kern w:val="0"/>
                <w:sz w:val="24"/>
                <w:szCs w:val="21"/>
              </w:rPr>
              <w:t>30%</w:t>
            </w:r>
            <w:r>
              <w:rPr>
                <w:rFonts w:hint="eastAsia"/>
                <w:kern w:val="0"/>
                <w:sz w:val="24"/>
                <w:szCs w:val="21"/>
              </w:rPr>
              <w:t>），设置综合性、开放性的题目，考查学生对微生物污染控制与治理知识的综合运用和分析能力；项目成果展示与答辩（</w:t>
            </w:r>
            <w:r>
              <w:rPr>
                <w:kern w:val="0"/>
                <w:sz w:val="24"/>
                <w:szCs w:val="21"/>
              </w:rPr>
              <w:t>20%</w:t>
            </w:r>
            <w:r>
              <w:rPr>
                <w:rFonts w:hint="eastAsia"/>
                <w:kern w:val="0"/>
                <w:sz w:val="24"/>
                <w:szCs w:val="21"/>
              </w:rPr>
              <w:t>），根据学生在项目成果展示中的表现、回答问题的准确性和创新性等进行评价。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3243116B">
            <w:pPr>
              <w:widowControl/>
              <w:tabs>
                <w:tab w:val="left" w:pos="1995"/>
              </w:tabs>
              <w:spacing w:line="360" w:lineRule="auto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1"/>
              </w:rPr>
              <w:t>2、评价标准的细化与明确</w:t>
            </w:r>
            <w:r>
              <w:rPr>
                <w:rFonts w:hint="eastAsia" w:ascii="MS Mincho" w:hAnsi="MS Mincho" w:eastAsia="MS Mincho" w:cs="MS Mincho"/>
                <w:kern w:val="0"/>
                <w:sz w:val="24"/>
                <w:szCs w:val="21"/>
              </w:rPr>
              <w:t>​</w:t>
            </w:r>
          </w:p>
          <w:p w14:paraId="33C4C8DE">
            <w:pPr>
              <w:widowControl/>
              <w:tabs>
                <w:tab w:val="left" w:pos="1995"/>
              </w:tabs>
              <w:spacing w:line="360" w:lineRule="auto"/>
              <w:ind w:firstLine="480" w:firstLineChars="200"/>
              <w:jc w:val="left"/>
              <w:rPr>
                <w:kern w:val="0"/>
                <w:sz w:val="24"/>
                <w:szCs w:val="21"/>
              </w:rPr>
            </w:pPr>
            <w:r>
              <w:rPr>
                <w:rFonts w:hint="eastAsia"/>
                <w:kern w:val="0"/>
                <w:sz w:val="24"/>
                <w:szCs w:val="21"/>
              </w:rPr>
              <w:t>针对不同的评价内容，制定详细的评价标准。例如，在课堂表现评价中，积极参与讨论并提出独到见解的学生可获得较高分数；在作业评价中，对能够综合运用多种知识、提出创新性解决方案的作业给予高分。在项目成果展示与答辩评价中，从项目的创新性、可行性、团队协作以及学生的表达能力等多个维度进行打分。</w:t>
            </w:r>
          </w:p>
          <w:p w14:paraId="40A14DD8">
            <w:pPr>
              <w:spacing w:line="360" w:lineRule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四</w:t>
            </w:r>
            <w:r>
              <w:rPr>
                <w:b/>
                <w:sz w:val="24"/>
              </w:rPr>
              <w:t>、复习思考</w:t>
            </w:r>
          </w:p>
          <w:p w14:paraId="1EE085D1">
            <w:pPr>
              <w:spacing w:line="360" w:lineRule="auto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基因工程改造微生物用于污染物降解的</w:t>
            </w:r>
            <w:r>
              <w:rPr>
                <w:kern w:val="0"/>
                <w:sz w:val="24"/>
              </w:rPr>
              <w:t>案例</w:t>
            </w:r>
            <w:r>
              <w:rPr>
                <w:rFonts w:hint="eastAsia"/>
                <w:kern w:val="0"/>
                <w:sz w:val="24"/>
              </w:rPr>
              <w:t>分析</w:t>
            </w:r>
            <w:r>
              <w:rPr>
                <w:kern w:val="0"/>
                <w:sz w:val="24"/>
              </w:rPr>
              <w:t>。</w:t>
            </w:r>
          </w:p>
        </w:tc>
      </w:tr>
      <w:tr w14:paraId="58A317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115" w:type="dxa"/>
            <w:gridSpan w:val="2"/>
            <w:vAlign w:val="center"/>
          </w:tcPr>
          <w:p w14:paraId="1D0E6FCF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课外自主学习设计</w:t>
            </w:r>
          </w:p>
        </w:tc>
        <w:tc>
          <w:tcPr>
            <w:tcW w:w="6060" w:type="dxa"/>
            <w:gridSpan w:val="4"/>
            <w:vAlign w:val="center"/>
          </w:tcPr>
          <w:p w14:paraId="489A80BB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查阅资料并自主练习，熟练掌握无菌操作的关键技术。</w:t>
            </w:r>
          </w:p>
        </w:tc>
      </w:tr>
      <w:tr w14:paraId="29DCE6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115" w:type="dxa"/>
            <w:gridSpan w:val="2"/>
            <w:vAlign w:val="center"/>
          </w:tcPr>
          <w:p w14:paraId="54A5EE0B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学习资源</w:t>
            </w:r>
          </w:p>
        </w:tc>
        <w:tc>
          <w:tcPr>
            <w:tcW w:w="6060" w:type="dxa"/>
            <w:gridSpan w:val="4"/>
            <w:vAlign w:val="center"/>
          </w:tcPr>
          <w:p w14:paraId="36E65F84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微生物学教程、网络资料</w:t>
            </w:r>
          </w:p>
        </w:tc>
      </w:tr>
      <w:tr w14:paraId="50BE13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3115" w:type="dxa"/>
            <w:gridSpan w:val="2"/>
            <w:vAlign w:val="center"/>
          </w:tcPr>
          <w:p w14:paraId="21892EFC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教学反思（手写）</w:t>
            </w:r>
          </w:p>
        </w:tc>
        <w:tc>
          <w:tcPr>
            <w:tcW w:w="6060" w:type="dxa"/>
            <w:gridSpan w:val="4"/>
            <w:vAlign w:val="center"/>
          </w:tcPr>
          <w:p w14:paraId="7EDACDC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        </w:t>
            </w:r>
          </w:p>
          <w:p w14:paraId="60402F1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06D6BAB6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76910BF1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275CE95B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56D40856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</w:tbl>
    <w:p w14:paraId="245E1E30">
      <w:pPr>
        <w:pStyle w:val="4"/>
        <w:spacing w:before="0" w:beforeAutospacing="0" w:after="0" w:afterAutospacing="0" w:line="360" w:lineRule="auto"/>
        <w:jc w:val="both"/>
        <w:rPr>
          <w:szCs w:val="21"/>
        </w:rPr>
      </w:pPr>
    </w:p>
    <w:p w14:paraId="26009E58"/>
    <w:p w14:paraId="1B628ABB"/>
    <w:sectPr>
      <w:footerReference r:id="rId5" w:type="default"/>
      <w:footerReference r:id="rId6" w:type="even"/>
      <w:pgSz w:w="11907" w:h="16840"/>
      <w:pgMar w:top="1418" w:right="1474" w:bottom="1418" w:left="1474" w:header="851" w:footer="992" w:gutter="0"/>
      <w:cols w:space="720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32A5A7">
    <w:pPr>
      <w:pStyle w:val="2"/>
      <w:framePr w:wrap="notBeside" w:vAnchor="page" w:hAnchor="margin" w:xAlign="center" w:yAlign="top"/>
      <w:pBdr>
        <w:between w:val="none" w:color="auto" w:sz="0" w:space="0"/>
      </w:pBdr>
    </w:pPr>
    <w:r>
      <w:fldChar w:fldCharType="begin"/>
    </w:r>
    <w:r>
      <w:rPr>
        <w:rStyle w:val="7"/>
      </w:rPr>
      <w:instrText xml:space="preserve"> PAGE  </w:instrText>
    </w:r>
    <w:r>
      <w:fldChar w:fldCharType="separate"/>
    </w:r>
    <w:r>
      <w:rPr>
        <w:rStyle w:val="7"/>
      </w:rPr>
      <w:t>4</w:t>
    </w:r>
    <w:r>
      <w:fldChar w:fldCharType="end"/>
    </w:r>
  </w:p>
  <w:p w14:paraId="3ECB3EFE">
    <w:pPr>
      <w:pStyle w:val="2"/>
      <w:jc w:val="center"/>
    </w:pPr>
  </w:p>
  <w:p w14:paraId="1C3101C8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63B627">
    <w:pPr>
      <w:pStyle w:val="2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 w14:paraId="4434A012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1A"/>
    <w:rsid w:val="00031B96"/>
    <w:rsid w:val="000E1CED"/>
    <w:rsid w:val="00176045"/>
    <w:rsid w:val="002B2BE9"/>
    <w:rsid w:val="005C110E"/>
    <w:rsid w:val="0078167D"/>
    <w:rsid w:val="007F0A6C"/>
    <w:rsid w:val="00870777"/>
    <w:rsid w:val="00A76153"/>
    <w:rsid w:val="00F16D1A"/>
    <w:rsid w:val="75F55A5A"/>
    <w:rsid w:val="7BB3EF2C"/>
    <w:rsid w:val="FEBE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脚 字符"/>
    <w:basedOn w:val="6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402</Words>
  <Characters>2295</Characters>
  <Lines>19</Lines>
  <Paragraphs>5</Paragraphs>
  <TotalTime>4</TotalTime>
  <ScaleCrop>false</ScaleCrop>
  <LinksUpToDate>false</LinksUpToDate>
  <CharactersWithSpaces>2692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2025-03-28T22:24:00Z</dcterms:created>
  <dc:creator>Windows</dc:creator>
  <cp:lastModifiedBy>李向阳</cp:lastModifiedBy>
  <dcterms:modified xsi:type="dcterms:W3CDTF">2025-04-07T22:27:30Z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8462997F0E519CF0B6DEF3678BDAF0AB_42</vt:lpwstr>
  </property>
</Properties>
</file>